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7CD" w:rsidRDefault="00276D1D" w:rsidP="00276D1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жұмыс</w:t>
      </w:r>
    </w:p>
    <w:p w:rsidR="00276D1D" w:rsidRDefault="00276D1D" w:rsidP="00276D1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76D1D" w:rsidRPr="00276D1D" w:rsidRDefault="00276D1D" w:rsidP="00276D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Салық кодексінің 14 бөліміндегі салықтық мөлшерлемелерді қолданып жер учаскесінің әр түрлі нысаналы мақсаттары бойынша жер салығын есептеу бойынша мысал келтіріңдер.</w:t>
      </w:r>
      <w:bookmarkStart w:id="0" w:name="_GoBack"/>
      <w:bookmarkEnd w:id="0"/>
    </w:p>
    <w:sectPr w:rsidR="00276D1D" w:rsidRPr="00276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919"/>
    <w:rsid w:val="00254919"/>
    <w:rsid w:val="00276D1D"/>
    <w:rsid w:val="00A3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32178"/>
  <w15:chartTrackingRefBased/>
  <w15:docId w15:val="{9B0719F4-A7EC-4410-BDC3-A7CFC380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>diakov.net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2020-11-16T17:38:00Z</dcterms:created>
  <dcterms:modified xsi:type="dcterms:W3CDTF">2020-11-16T17:44:00Z</dcterms:modified>
</cp:coreProperties>
</file>